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C96" w:rsidRDefault="00E32C96" w:rsidP="00207603">
      <w:pPr>
        <w:jc w:val="center"/>
        <w:rPr>
          <w:rFonts w:ascii="Arial" w:hAnsi="Arial" w:cs="Arial"/>
          <w:b/>
          <w:sz w:val="19"/>
          <w:szCs w:val="19"/>
        </w:rPr>
      </w:pPr>
    </w:p>
    <w:p w:rsidR="00207603" w:rsidRPr="00E32C96" w:rsidRDefault="00207603" w:rsidP="00207603">
      <w:pPr>
        <w:jc w:val="center"/>
        <w:rPr>
          <w:rFonts w:ascii="Arial" w:hAnsi="Arial" w:cs="Arial"/>
          <w:b/>
          <w:sz w:val="19"/>
          <w:szCs w:val="19"/>
        </w:rPr>
      </w:pPr>
      <w:r w:rsidRPr="00E32C96">
        <w:rPr>
          <w:rFonts w:ascii="Arial" w:hAnsi="Arial" w:cs="Arial"/>
          <w:b/>
          <w:sz w:val="19"/>
          <w:szCs w:val="19"/>
        </w:rPr>
        <w:t xml:space="preserve">Organizaciones </w:t>
      </w:r>
      <w:r w:rsidRPr="00E32C96">
        <w:rPr>
          <w:rFonts w:ascii="Arial" w:hAnsi="Arial" w:cs="Arial"/>
          <w:b/>
          <w:sz w:val="19"/>
          <w:szCs w:val="19"/>
          <w:lang w:val="es-ES"/>
        </w:rPr>
        <w:t>I</w:t>
      </w:r>
      <w:r w:rsidRPr="00E32C96">
        <w:rPr>
          <w:rFonts w:ascii="Arial" w:hAnsi="Arial" w:cs="Arial"/>
          <w:b/>
          <w:sz w:val="19"/>
          <w:szCs w:val="19"/>
        </w:rPr>
        <w:t xml:space="preserve">nternacionales </w:t>
      </w:r>
      <w:r w:rsidRPr="00E32C96">
        <w:rPr>
          <w:rFonts w:ascii="Arial" w:hAnsi="Arial" w:cs="Arial"/>
          <w:b/>
          <w:sz w:val="19"/>
          <w:szCs w:val="19"/>
          <w:lang w:val="es-ES"/>
        </w:rPr>
        <w:t xml:space="preserve">exhortamos al Estado de Guatemala a garantizar el acceso a la justicia en  el juicio Molina </w:t>
      </w:r>
      <w:proofErr w:type="spellStart"/>
      <w:r w:rsidRPr="00E32C96">
        <w:rPr>
          <w:rFonts w:ascii="Arial" w:hAnsi="Arial" w:cs="Arial"/>
          <w:b/>
          <w:sz w:val="19"/>
          <w:szCs w:val="19"/>
          <w:lang w:val="es-ES"/>
        </w:rPr>
        <w:t>Theissen</w:t>
      </w:r>
      <w:proofErr w:type="spellEnd"/>
    </w:p>
    <w:p w:rsidR="00207603" w:rsidRPr="00E32C96" w:rsidRDefault="00207603" w:rsidP="00207603">
      <w:pPr>
        <w:jc w:val="both"/>
        <w:rPr>
          <w:rFonts w:ascii="Arial" w:hAnsi="Arial" w:cs="Arial"/>
          <w:sz w:val="19"/>
          <w:szCs w:val="19"/>
        </w:rPr>
      </w:pPr>
      <w:r w:rsidRPr="00E32C96">
        <w:rPr>
          <w:rFonts w:ascii="Arial" w:hAnsi="Arial" w:cs="Arial"/>
          <w:b/>
          <w:sz w:val="19"/>
          <w:szCs w:val="19"/>
        </w:rPr>
        <w:t xml:space="preserve">Ciudad de Guatemala, San José, </w:t>
      </w:r>
      <w:r w:rsidRPr="00E32C96">
        <w:rPr>
          <w:rFonts w:ascii="Arial" w:hAnsi="Arial" w:cs="Arial"/>
          <w:b/>
          <w:sz w:val="19"/>
          <w:szCs w:val="19"/>
          <w:lang w:val="es-CR"/>
        </w:rPr>
        <w:t xml:space="preserve">Washington DC.- </w:t>
      </w:r>
      <w:r w:rsidRPr="00E32C96">
        <w:rPr>
          <w:rFonts w:ascii="Arial" w:hAnsi="Arial" w:cs="Arial"/>
          <w:b/>
          <w:sz w:val="19"/>
          <w:szCs w:val="19"/>
        </w:rPr>
        <w:t xml:space="preserve"> 11 de abril del 2018.-</w:t>
      </w:r>
      <w:r w:rsidRPr="00E32C96">
        <w:rPr>
          <w:rFonts w:ascii="Arial" w:hAnsi="Arial" w:cs="Arial"/>
          <w:sz w:val="19"/>
          <w:szCs w:val="19"/>
        </w:rPr>
        <w:t xml:space="preserve"> Desde el pasado 1 de marzo, el Tribunal de Mayor Riesgo C comenzó </w:t>
      </w:r>
      <w:hyperlink r:id="rId6" w:history="1">
        <w:r w:rsidRPr="00E32C96">
          <w:rPr>
            <w:rStyle w:val="Hyperlink"/>
            <w:rFonts w:ascii="Arial" w:hAnsi="Arial" w:cs="Arial"/>
            <w:sz w:val="19"/>
            <w:szCs w:val="19"/>
          </w:rPr>
          <w:t>el juicio</w:t>
        </w:r>
      </w:hyperlink>
      <w:r w:rsidRPr="00E32C96">
        <w:rPr>
          <w:rFonts w:ascii="Arial" w:hAnsi="Arial" w:cs="Arial"/>
          <w:sz w:val="19"/>
          <w:szCs w:val="19"/>
        </w:rPr>
        <w:t xml:space="preserve"> que deberá determinar la responsabilidad penal de cinco militares de alto rango acusados de delitos de deberes contra la humanidad, por la detención ilegal, tortura y violación</w:t>
      </w:r>
      <w:r w:rsidRPr="00E32C96">
        <w:rPr>
          <w:rFonts w:ascii="Arial" w:hAnsi="Arial" w:cs="Arial"/>
          <w:sz w:val="19"/>
          <w:szCs w:val="19"/>
          <w:lang w:val="es-CR"/>
        </w:rPr>
        <w:t xml:space="preserve"> sexual </w:t>
      </w:r>
      <w:r w:rsidRPr="00E32C96">
        <w:rPr>
          <w:rFonts w:ascii="Arial" w:hAnsi="Arial" w:cs="Arial"/>
          <w:sz w:val="19"/>
          <w:szCs w:val="19"/>
        </w:rPr>
        <w:t xml:space="preserve">de Emma Molina Theissen y la posterior desaparición forzada de su hermano de 14 años, Marco Antonio. </w:t>
      </w:r>
    </w:p>
    <w:p w:rsidR="00207603" w:rsidRPr="00E32C96" w:rsidRDefault="00207603" w:rsidP="00207603">
      <w:pPr>
        <w:jc w:val="both"/>
        <w:rPr>
          <w:rFonts w:ascii="Arial" w:hAnsi="Arial" w:cs="Arial"/>
          <w:sz w:val="19"/>
          <w:szCs w:val="19"/>
        </w:rPr>
      </w:pPr>
      <w:r w:rsidRPr="00E32C96">
        <w:rPr>
          <w:rFonts w:ascii="Arial" w:hAnsi="Arial" w:cs="Arial"/>
          <w:sz w:val="19"/>
          <w:szCs w:val="19"/>
        </w:rPr>
        <w:t xml:space="preserve">Las organizaciones que adscriben a este pronunciamiento manifestamos nuestra profunda preocupación ante las acciones que </w:t>
      </w:r>
      <w:r w:rsidRPr="00E32C96">
        <w:rPr>
          <w:rFonts w:ascii="Arial" w:hAnsi="Arial" w:cs="Arial"/>
          <w:sz w:val="19"/>
          <w:szCs w:val="19"/>
          <w:lang w:val="es-ES"/>
        </w:rPr>
        <w:t>tendrían</w:t>
      </w:r>
      <w:r w:rsidRPr="00E32C96">
        <w:rPr>
          <w:rFonts w:ascii="Arial" w:hAnsi="Arial" w:cs="Arial"/>
          <w:sz w:val="19"/>
          <w:szCs w:val="19"/>
        </w:rPr>
        <w:t xml:space="preserve"> como fin dilatar el proceso de obtención de justicia para la familia Molina Theissen, después de casi 37 años de ocurridos los hechos. Asimismo, hacemos público nuestro rechazo a las prácticas revictimizantes para la familia y que muestran una clara intención de amedrentar a quienes participan del proceso. </w:t>
      </w:r>
    </w:p>
    <w:p w:rsidR="00207603" w:rsidRPr="00E32C96" w:rsidRDefault="00207603" w:rsidP="00207603">
      <w:pPr>
        <w:jc w:val="both"/>
        <w:rPr>
          <w:rFonts w:ascii="Arial" w:hAnsi="Arial" w:cs="Arial"/>
          <w:sz w:val="19"/>
          <w:szCs w:val="19"/>
          <w:lang w:val="es-419"/>
        </w:rPr>
      </w:pPr>
      <w:r w:rsidRPr="00E32C96">
        <w:rPr>
          <w:rFonts w:ascii="Arial" w:hAnsi="Arial" w:cs="Arial"/>
          <w:sz w:val="19"/>
          <w:szCs w:val="19"/>
        </w:rPr>
        <w:t xml:space="preserve">El pasado 9 de abril, la defensa de los acusados presentó una </w:t>
      </w:r>
      <w:r w:rsidRPr="00E32C96">
        <w:rPr>
          <w:rFonts w:ascii="Arial" w:hAnsi="Arial" w:cs="Arial"/>
          <w:sz w:val="19"/>
          <w:szCs w:val="19"/>
        </w:rPr>
        <w:fldChar w:fldCharType="begin"/>
      </w:r>
      <w:r w:rsidRPr="00E32C96">
        <w:rPr>
          <w:rFonts w:ascii="Arial" w:hAnsi="Arial" w:cs="Arial"/>
          <w:sz w:val="19"/>
          <w:szCs w:val="19"/>
        </w:rPr>
        <w:instrText xml:space="preserve"> HYPERLINK "https://www.ijmonitor.org/2018/04/witness-testimony-resumes-after-defense-lawyers-unsuccessfully-try-to-remove-judge-from-molina-theissen-case/" </w:instrText>
      </w:r>
      <w:r w:rsidRPr="00E32C96">
        <w:rPr>
          <w:rFonts w:ascii="Arial" w:hAnsi="Arial" w:cs="Arial"/>
          <w:sz w:val="19"/>
          <w:szCs w:val="19"/>
        </w:rPr>
        <w:fldChar w:fldCharType="separate"/>
      </w:r>
      <w:r w:rsidRPr="00E32C96">
        <w:rPr>
          <w:rStyle w:val="Hyperlink"/>
          <w:rFonts w:ascii="Arial" w:hAnsi="Arial" w:cs="Arial"/>
          <w:sz w:val="19"/>
          <w:szCs w:val="19"/>
        </w:rPr>
        <w:t>recusación</w:t>
      </w:r>
      <w:r w:rsidRPr="00E32C96">
        <w:rPr>
          <w:rFonts w:ascii="Arial" w:hAnsi="Arial" w:cs="Arial"/>
          <w:sz w:val="19"/>
          <w:szCs w:val="19"/>
        </w:rPr>
        <w:fldChar w:fldCharType="end"/>
      </w:r>
      <w:r w:rsidRPr="00E32C96">
        <w:rPr>
          <w:rFonts w:ascii="Arial" w:hAnsi="Arial" w:cs="Arial"/>
          <w:sz w:val="19"/>
          <w:szCs w:val="19"/>
        </w:rPr>
        <w:t xml:space="preserve"> contra el presidente del tribunal, Pablo Xitumul, porque su padre habría sido víctima de desaparición forzada en el año 1981</w:t>
      </w:r>
      <w:r w:rsidRPr="00E32C96">
        <w:rPr>
          <w:rFonts w:ascii="Arial" w:hAnsi="Arial" w:cs="Arial"/>
          <w:sz w:val="19"/>
          <w:szCs w:val="19"/>
          <w:lang w:val="es-ES"/>
        </w:rPr>
        <w:t>, lo cual ellos aducen significa que el juez guarda odio a los militares y no puede ser un juez imparcial en este caso</w:t>
      </w:r>
      <w:r w:rsidRPr="00E32C96">
        <w:rPr>
          <w:rFonts w:ascii="Arial" w:hAnsi="Arial" w:cs="Arial"/>
          <w:sz w:val="19"/>
          <w:szCs w:val="19"/>
        </w:rPr>
        <w:t>. Ante esto, el tribunal resolvió que</w:t>
      </w:r>
      <w:r w:rsidRPr="00E32C96">
        <w:rPr>
          <w:rFonts w:ascii="Arial" w:hAnsi="Arial" w:cs="Arial"/>
          <w:sz w:val="19"/>
          <w:szCs w:val="19"/>
          <w:lang w:val="es-419"/>
        </w:rPr>
        <w:t xml:space="preserve"> los hechos referidos por los abogados de la defensa no guardan ninguna relación con el caso actual, y que los imputados no estuvieron de alta en Rabinal en 1981. A su vez, el tribunal aseguró que contrario a lo que aducen los abogados de la defensa, el Juez </w:t>
      </w:r>
      <w:proofErr w:type="spellStart"/>
      <w:r w:rsidRPr="00E32C96">
        <w:rPr>
          <w:rFonts w:ascii="Arial" w:hAnsi="Arial" w:cs="Arial"/>
          <w:sz w:val="19"/>
          <w:szCs w:val="19"/>
          <w:lang w:val="es-419"/>
        </w:rPr>
        <w:t>Xitumul</w:t>
      </w:r>
      <w:proofErr w:type="spellEnd"/>
      <w:r w:rsidRPr="00E32C96">
        <w:rPr>
          <w:rFonts w:ascii="Arial" w:hAnsi="Arial" w:cs="Arial"/>
          <w:sz w:val="19"/>
          <w:szCs w:val="19"/>
          <w:lang w:val="es-419"/>
        </w:rPr>
        <w:t xml:space="preserve"> no tiene relación ni enemistad con las partes, y ha demostrado absoluta imparcialidad en el caso, como corresponde. </w:t>
      </w:r>
    </w:p>
    <w:p w:rsidR="00207603" w:rsidRPr="00E32C96" w:rsidRDefault="00207603" w:rsidP="00207603">
      <w:pPr>
        <w:jc w:val="both"/>
        <w:rPr>
          <w:rFonts w:ascii="Arial" w:hAnsi="Arial" w:cs="Arial"/>
          <w:sz w:val="19"/>
          <w:szCs w:val="19"/>
          <w:lang w:val="es-GT"/>
        </w:rPr>
      </w:pPr>
      <w:r w:rsidRPr="00E32C96">
        <w:rPr>
          <w:rFonts w:ascii="Arial" w:hAnsi="Arial" w:cs="Arial"/>
          <w:sz w:val="19"/>
          <w:szCs w:val="19"/>
          <w:lang w:val="es-GT"/>
        </w:rPr>
        <w:t>Los abogados de la defensa han apelado la decisión del tribunal. Ante ello, las organizaciones advertimos que no existen causales objetivas para una recusación, por lo que consideramos que el recurso debe ser rechazado de plano y se debe continuar con el juicio sin más dilación.</w:t>
      </w:r>
    </w:p>
    <w:p w:rsidR="00207603" w:rsidRPr="00E32C96" w:rsidRDefault="00207603" w:rsidP="00207603">
      <w:pPr>
        <w:jc w:val="both"/>
        <w:rPr>
          <w:rFonts w:ascii="Arial" w:hAnsi="Arial" w:cs="Arial"/>
          <w:sz w:val="19"/>
          <w:szCs w:val="19"/>
          <w:lang w:val="es-419"/>
        </w:rPr>
      </w:pPr>
      <w:r w:rsidRPr="00E32C96">
        <w:rPr>
          <w:rFonts w:ascii="Arial" w:hAnsi="Arial" w:cs="Arial"/>
          <w:sz w:val="19"/>
          <w:szCs w:val="19"/>
          <w:lang w:val="es-419"/>
        </w:rPr>
        <w:t>E</w:t>
      </w:r>
      <w:r w:rsidRPr="00E32C96">
        <w:rPr>
          <w:rFonts w:ascii="Arial" w:hAnsi="Arial" w:cs="Arial"/>
          <w:sz w:val="19"/>
          <w:szCs w:val="19"/>
        </w:rPr>
        <w:t xml:space="preserve">l tribunal </w:t>
      </w:r>
      <w:r w:rsidRPr="00E32C96">
        <w:rPr>
          <w:rFonts w:ascii="Arial" w:hAnsi="Arial" w:cs="Arial"/>
          <w:sz w:val="19"/>
          <w:szCs w:val="19"/>
          <w:lang w:val="es-419"/>
        </w:rPr>
        <w:t xml:space="preserve">que conoce </w:t>
      </w:r>
      <w:r w:rsidRPr="00E32C96">
        <w:rPr>
          <w:rFonts w:ascii="Arial" w:hAnsi="Arial" w:cs="Arial"/>
          <w:sz w:val="19"/>
          <w:szCs w:val="19"/>
        </w:rPr>
        <w:t xml:space="preserve">el caso ha dado un trato digno a los acusados y </w:t>
      </w:r>
      <w:r w:rsidRPr="00E32C96">
        <w:rPr>
          <w:rFonts w:ascii="Arial" w:hAnsi="Arial" w:cs="Arial"/>
          <w:sz w:val="19"/>
          <w:szCs w:val="19"/>
          <w:lang w:val="es-ES"/>
        </w:rPr>
        <w:t xml:space="preserve">se </w:t>
      </w:r>
      <w:r w:rsidRPr="00E32C96">
        <w:rPr>
          <w:rFonts w:ascii="Arial" w:hAnsi="Arial" w:cs="Arial"/>
          <w:sz w:val="19"/>
          <w:szCs w:val="19"/>
        </w:rPr>
        <w:t xml:space="preserve">ha </w:t>
      </w:r>
      <w:r w:rsidRPr="00E32C96">
        <w:rPr>
          <w:rFonts w:ascii="Arial" w:hAnsi="Arial" w:cs="Arial"/>
          <w:sz w:val="19"/>
          <w:szCs w:val="19"/>
          <w:lang w:val="es-ES"/>
        </w:rPr>
        <w:t>esforzado en</w:t>
      </w:r>
      <w:r w:rsidRPr="00E32C96">
        <w:rPr>
          <w:rFonts w:ascii="Arial" w:hAnsi="Arial" w:cs="Arial"/>
          <w:sz w:val="19"/>
          <w:szCs w:val="19"/>
        </w:rPr>
        <w:t xml:space="preserve"> garantizar en todo momento el derecho de defensa de los acusados. Señalamos por tanto que este argumento es improcedente y que represent</w:t>
      </w:r>
      <w:r w:rsidRPr="00E32C96">
        <w:rPr>
          <w:rFonts w:ascii="Arial" w:hAnsi="Arial" w:cs="Arial"/>
          <w:sz w:val="19"/>
          <w:szCs w:val="19"/>
          <w:lang w:val="es-CR"/>
        </w:rPr>
        <w:t>a</w:t>
      </w:r>
      <w:r w:rsidRPr="00E32C96">
        <w:rPr>
          <w:rFonts w:ascii="Arial" w:hAnsi="Arial" w:cs="Arial"/>
          <w:sz w:val="19"/>
          <w:szCs w:val="19"/>
        </w:rPr>
        <w:t xml:space="preserve"> un intento </w:t>
      </w:r>
      <w:r w:rsidRPr="00E32C96">
        <w:rPr>
          <w:rFonts w:ascii="Arial" w:hAnsi="Arial" w:cs="Arial"/>
          <w:sz w:val="19"/>
          <w:szCs w:val="19"/>
          <w:lang w:val="es-CR"/>
        </w:rPr>
        <w:t xml:space="preserve">malicioso </w:t>
      </w:r>
      <w:r w:rsidRPr="00E32C96">
        <w:rPr>
          <w:rFonts w:ascii="Arial" w:hAnsi="Arial" w:cs="Arial"/>
          <w:sz w:val="19"/>
          <w:szCs w:val="19"/>
        </w:rPr>
        <w:t>por obstaculizar la justicia.</w:t>
      </w:r>
      <w:r w:rsidRPr="00E32C96">
        <w:rPr>
          <w:rFonts w:ascii="Arial" w:hAnsi="Arial" w:cs="Arial"/>
          <w:sz w:val="19"/>
          <w:szCs w:val="19"/>
          <w:lang w:val="es-419"/>
        </w:rPr>
        <w:t xml:space="preserve"> </w:t>
      </w:r>
    </w:p>
    <w:p w:rsidR="00207603" w:rsidRPr="00E32C96" w:rsidRDefault="00207603" w:rsidP="00207603">
      <w:pPr>
        <w:jc w:val="both"/>
        <w:rPr>
          <w:rFonts w:ascii="Arial" w:hAnsi="Arial" w:cs="Arial"/>
          <w:sz w:val="19"/>
          <w:szCs w:val="19"/>
          <w:lang w:val="es-419"/>
        </w:rPr>
      </w:pPr>
      <w:r w:rsidRPr="00E32C96">
        <w:rPr>
          <w:rFonts w:ascii="Arial" w:hAnsi="Arial" w:cs="Arial"/>
          <w:sz w:val="19"/>
          <w:szCs w:val="19"/>
        </w:rPr>
        <w:t xml:space="preserve">Por otra parte, durante juicio, los imputados y sus representantes han </w:t>
      </w:r>
      <w:r w:rsidRPr="00E32C96">
        <w:rPr>
          <w:rFonts w:ascii="Arial" w:hAnsi="Arial" w:cs="Arial"/>
          <w:sz w:val="19"/>
          <w:szCs w:val="19"/>
          <w:lang w:val="es-ES"/>
        </w:rPr>
        <w:t xml:space="preserve">intentado </w:t>
      </w:r>
      <w:r w:rsidRPr="00E32C96">
        <w:rPr>
          <w:rFonts w:ascii="Arial" w:hAnsi="Arial" w:cs="Arial"/>
          <w:sz w:val="19"/>
          <w:szCs w:val="19"/>
        </w:rPr>
        <w:t>descalifica</w:t>
      </w:r>
      <w:r w:rsidRPr="00E32C96">
        <w:rPr>
          <w:rFonts w:ascii="Arial" w:hAnsi="Arial" w:cs="Arial"/>
          <w:sz w:val="19"/>
          <w:szCs w:val="19"/>
          <w:lang w:val="es-ES"/>
        </w:rPr>
        <w:t>r</w:t>
      </w:r>
      <w:r w:rsidRPr="00E32C96">
        <w:rPr>
          <w:rFonts w:ascii="Arial" w:hAnsi="Arial" w:cs="Arial"/>
          <w:sz w:val="19"/>
          <w:szCs w:val="19"/>
        </w:rPr>
        <w:t xml:space="preserve"> el proceso, acusando al tribunal de carecer de imparcialidad y</w:t>
      </w:r>
      <w:r w:rsidRPr="00E32C96">
        <w:rPr>
          <w:rFonts w:ascii="Arial" w:hAnsi="Arial" w:cs="Arial"/>
          <w:sz w:val="19"/>
          <w:szCs w:val="19"/>
          <w:lang w:val="es-ES"/>
        </w:rPr>
        <w:t xml:space="preserve"> de</w:t>
      </w:r>
      <w:r w:rsidRPr="00E32C96">
        <w:rPr>
          <w:rFonts w:ascii="Arial" w:hAnsi="Arial" w:cs="Arial"/>
          <w:sz w:val="19"/>
          <w:szCs w:val="19"/>
        </w:rPr>
        <w:t xml:space="preserve"> tratarse de </w:t>
      </w:r>
      <w:r w:rsidRPr="00E32C96">
        <w:rPr>
          <w:rFonts w:ascii="Arial" w:hAnsi="Arial" w:cs="Arial"/>
          <w:sz w:val="19"/>
          <w:szCs w:val="19"/>
          <w:lang w:val="es-ES"/>
        </w:rPr>
        <w:t>“</w:t>
      </w:r>
      <w:hyperlink r:id="rId7" w:history="1">
        <w:r w:rsidRPr="00E32C96">
          <w:rPr>
            <w:rStyle w:val="Hyperlink"/>
            <w:rFonts w:ascii="Arial" w:hAnsi="Arial" w:cs="Arial"/>
            <w:sz w:val="19"/>
            <w:szCs w:val="19"/>
          </w:rPr>
          <w:t>un</w:t>
        </w:r>
        <w:r w:rsidRPr="00E32C96">
          <w:rPr>
            <w:rStyle w:val="Hyperlink"/>
            <w:rFonts w:ascii="Arial" w:hAnsi="Arial" w:cs="Arial"/>
            <w:sz w:val="19"/>
            <w:szCs w:val="19"/>
            <w:lang w:val="es-ES"/>
          </w:rPr>
          <w:t>a</w:t>
        </w:r>
        <w:r w:rsidRPr="00E32C96">
          <w:rPr>
            <w:rStyle w:val="Hyperlink"/>
            <w:rFonts w:ascii="Arial" w:hAnsi="Arial" w:cs="Arial"/>
            <w:sz w:val="19"/>
            <w:szCs w:val="19"/>
          </w:rPr>
          <w:t xml:space="preserve"> </w:t>
        </w:r>
        <w:r w:rsidRPr="00E32C96">
          <w:rPr>
            <w:rStyle w:val="Hyperlink"/>
            <w:rFonts w:ascii="Arial" w:hAnsi="Arial" w:cs="Arial"/>
            <w:sz w:val="19"/>
            <w:szCs w:val="19"/>
            <w:lang w:val="es-ES"/>
          </w:rPr>
          <w:t>farsa</w:t>
        </w:r>
      </w:hyperlink>
      <w:r w:rsidRPr="00E32C96">
        <w:rPr>
          <w:rFonts w:ascii="Arial" w:hAnsi="Arial" w:cs="Arial"/>
          <w:sz w:val="19"/>
          <w:szCs w:val="19"/>
        </w:rPr>
        <w:t>”, como lo expresó Benedicto Lucas</w:t>
      </w:r>
      <w:r w:rsidRPr="00E32C96">
        <w:rPr>
          <w:rFonts w:ascii="Arial" w:hAnsi="Arial" w:cs="Arial"/>
          <w:sz w:val="19"/>
          <w:szCs w:val="19"/>
          <w:lang w:val="es-ES"/>
        </w:rPr>
        <w:t xml:space="preserve"> García, ex jefe del Estado Mayor del Ejército de Guatemala en 1981,</w:t>
      </w:r>
      <w:r w:rsidRPr="00E32C96">
        <w:rPr>
          <w:rFonts w:ascii="Arial" w:hAnsi="Arial" w:cs="Arial"/>
          <w:sz w:val="19"/>
          <w:szCs w:val="19"/>
        </w:rPr>
        <w:t xml:space="preserve"> durante su declaración. Asimismo, </w:t>
      </w:r>
      <w:r w:rsidRPr="00E32C96">
        <w:rPr>
          <w:rFonts w:ascii="Arial" w:hAnsi="Arial" w:cs="Arial"/>
          <w:sz w:val="19"/>
          <w:szCs w:val="19"/>
          <w:lang w:val="es-419"/>
        </w:rPr>
        <w:t xml:space="preserve">familiares de los acusados </w:t>
      </w:r>
      <w:r w:rsidRPr="00E32C96">
        <w:rPr>
          <w:rFonts w:ascii="Arial" w:hAnsi="Arial" w:cs="Arial"/>
          <w:sz w:val="19"/>
          <w:szCs w:val="19"/>
        </w:rPr>
        <w:t xml:space="preserve">han </w:t>
      </w:r>
      <w:r w:rsidRPr="00E32C96">
        <w:rPr>
          <w:rFonts w:ascii="Arial" w:hAnsi="Arial" w:cs="Arial"/>
          <w:sz w:val="19"/>
          <w:szCs w:val="19"/>
          <w:lang w:val="es-419"/>
        </w:rPr>
        <w:t xml:space="preserve">amedrentado a varios asistentes al debate y sus abogados </w:t>
      </w:r>
      <w:r w:rsidRPr="00E32C96">
        <w:rPr>
          <w:rFonts w:ascii="Arial" w:hAnsi="Arial" w:cs="Arial"/>
          <w:sz w:val="19"/>
          <w:szCs w:val="19"/>
        </w:rPr>
        <w:t>han re</w:t>
      </w:r>
      <w:r w:rsidRPr="00E32C96">
        <w:rPr>
          <w:rFonts w:ascii="Arial" w:hAnsi="Arial" w:cs="Arial"/>
          <w:sz w:val="19"/>
          <w:szCs w:val="19"/>
          <w:lang w:val="es-419"/>
        </w:rPr>
        <w:t>vela</w:t>
      </w:r>
      <w:r w:rsidRPr="00E32C96">
        <w:rPr>
          <w:rFonts w:ascii="Arial" w:hAnsi="Arial" w:cs="Arial"/>
          <w:sz w:val="19"/>
          <w:szCs w:val="19"/>
        </w:rPr>
        <w:t>do información confidencial de testigos/as protegidos/as</w:t>
      </w:r>
      <w:r w:rsidRPr="00E32C96">
        <w:rPr>
          <w:rFonts w:ascii="Arial" w:hAnsi="Arial" w:cs="Arial"/>
          <w:sz w:val="19"/>
          <w:szCs w:val="19"/>
          <w:lang w:val="es-419"/>
        </w:rPr>
        <w:t>.</w:t>
      </w:r>
    </w:p>
    <w:p w:rsidR="00207603" w:rsidRPr="00E32C96" w:rsidRDefault="00207603" w:rsidP="00207603">
      <w:pPr>
        <w:jc w:val="both"/>
        <w:rPr>
          <w:rFonts w:ascii="Arial" w:hAnsi="Arial" w:cs="Arial"/>
          <w:sz w:val="19"/>
          <w:szCs w:val="19"/>
        </w:rPr>
      </w:pPr>
      <w:r w:rsidRPr="00E32C96">
        <w:rPr>
          <w:rFonts w:ascii="Arial" w:hAnsi="Arial" w:cs="Arial"/>
          <w:sz w:val="19"/>
          <w:szCs w:val="19"/>
        </w:rPr>
        <w:t>Recordamos que</w:t>
      </w:r>
      <w:r w:rsidRPr="00E32C96">
        <w:rPr>
          <w:rFonts w:ascii="Arial" w:hAnsi="Arial" w:cs="Arial"/>
          <w:sz w:val="19"/>
          <w:szCs w:val="19"/>
          <w:lang w:val="es-419"/>
        </w:rPr>
        <w:t>,</w:t>
      </w:r>
      <w:r w:rsidRPr="00E32C96">
        <w:rPr>
          <w:rFonts w:ascii="Arial" w:hAnsi="Arial" w:cs="Arial"/>
          <w:sz w:val="19"/>
          <w:szCs w:val="19"/>
        </w:rPr>
        <w:t xml:space="preserve"> desde el año 2004</w:t>
      </w:r>
      <w:r w:rsidRPr="00E32C96">
        <w:rPr>
          <w:rFonts w:ascii="Arial" w:hAnsi="Arial" w:cs="Arial"/>
          <w:sz w:val="19"/>
          <w:szCs w:val="19"/>
          <w:lang w:val="es-419"/>
        </w:rPr>
        <w:t>,</w:t>
      </w:r>
      <w:r w:rsidRPr="00E32C96">
        <w:rPr>
          <w:rFonts w:ascii="Arial" w:hAnsi="Arial" w:cs="Arial"/>
          <w:sz w:val="19"/>
          <w:szCs w:val="19"/>
        </w:rPr>
        <w:t xml:space="preserve"> la Corte Interamericana de Derechos Humanos </w:t>
      </w:r>
      <w:hyperlink r:id="rId8" w:history="1">
        <w:r w:rsidRPr="00E32C96">
          <w:rPr>
            <w:rStyle w:val="Hyperlink"/>
            <w:rFonts w:ascii="Arial" w:hAnsi="Arial" w:cs="Arial"/>
            <w:sz w:val="19"/>
            <w:szCs w:val="19"/>
          </w:rPr>
          <w:t>condenó a Guatemala</w:t>
        </w:r>
      </w:hyperlink>
      <w:r w:rsidRPr="00E32C96">
        <w:rPr>
          <w:rFonts w:ascii="Arial" w:hAnsi="Arial" w:cs="Arial"/>
          <w:sz w:val="19"/>
          <w:szCs w:val="19"/>
        </w:rPr>
        <w:t xml:space="preserve"> por</w:t>
      </w:r>
      <w:r w:rsidRPr="00E32C96">
        <w:rPr>
          <w:rFonts w:ascii="Arial" w:hAnsi="Arial" w:cs="Arial"/>
          <w:sz w:val="19"/>
          <w:szCs w:val="19"/>
          <w:lang w:val="es-419"/>
        </w:rPr>
        <w:t xml:space="preserve"> el presente caso y le ordenó</w:t>
      </w:r>
      <w:r w:rsidRPr="00E32C96">
        <w:rPr>
          <w:rFonts w:ascii="Arial" w:hAnsi="Arial" w:cs="Arial"/>
          <w:sz w:val="19"/>
          <w:szCs w:val="19"/>
        </w:rPr>
        <w:t>, entre otr</w:t>
      </w:r>
      <w:r w:rsidRPr="00E32C96">
        <w:rPr>
          <w:rFonts w:ascii="Arial" w:hAnsi="Arial" w:cs="Arial"/>
          <w:sz w:val="19"/>
          <w:szCs w:val="19"/>
          <w:lang w:val="es-419"/>
        </w:rPr>
        <w:t>as medidas</w:t>
      </w:r>
      <w:r w:rsidRPr="00E32C96">
        <w:rPr>
          <w:rFonts w:ascii="Arial" w:hAnsi="Arial" w:cs="Arial"/>
          <w:sz w:val="19"/>
          <w:szCs w:val="19"/>
        </w:rPr>
        <w:t>, garantizar</w:t>
      </w:r>
      <w:r w:rsidRPr="00E32C96">
        <w:rPr>
          <w:rFonts w:ascii="Arial" w:hAnsi="Arial" w:cs="Arial"/>
          <w:sz w:val="19"/>
          <w:szCs w:val="19"/>
          <w:lang w:val="es-419"/>
        </w:rPr>
        <w:t xml:space="preserve"> </w:t>
      </w:r>
      <w:r w:rsidRPr="00E32C96">
        <w:rPr>
          <w:rFonts w:ascii="Arial" w:hAnsi="Arial" w:cs="Arial"/>
          <w:sz w:val="19"/>
          <w:szCs w:val="19"/>
        </w:rPr>
        <w:t xml:space="preserve">la justicia por las graves violaciones cometidas en perjuicio de la familia. </w:t>
      </w:r>
      <w:r w:rsidRPr="00E32C96">
        <w:rPr>
          <w:rFonts w:ascii="Arial" w:hAnsi="Arial" w:cs="Arial"/>
          <w:sz w:val="19"/>
          <w:szCs w:val="19"/>
          <w:lang w:val="es-419"/>
        </w:rPr>
        <w:t xml:space="preserve">En el 2015, </w:t>
      </w:r>
      <w:hyperlink r:id="rId9" w:history="1">
        <w:r w:rsidRPr="00E32C96">
          <w:rPr>
            <w:rStyle w:val="Hyperlink"/>
            <w:rFonts w:ascii="Arial" w:hAnsi="Arial" w:cs="Arial"/>
            <w:sz w:val="19"/>
            <w:szCs w:val="19"/>
            <w:lang w:val="es-419"/>
          </w:rPr>
          <w:t>le recordó al Estado</w:t>
        </w:r>
      </w:hyperlink>
      <w:r w:rsidRPr="00E32C96">
        <w:rPr>
          <w:rFonts w:ascii="Arial" w:hAnsi="Arial" w:cs="Arial"/>
          <w:sz w:val="19"/>
          <w:szCs w:val="19"/>
          <w:lang w:val="es-419"/>
        </w:rPr>
        <w:t xml:space="preserve"> su obligación de “</w:t>
      </w:r>
      <w:r w:rsidRPr="00E32C96">
        <w:rPr>
          <w:rFonts w:ascii="Arial" w:hAnsi="Arial" w:cs="Arial"/>
          <w:sz w:val="19"/>
          <w:szCs w:val="19"/>
        </w:rPr>
        <w:t xml:space="preserve">investigar, enjuiciar y sancionar sin permitir que el ejercicio de recursos </w:t>
      </w:r>
      <w:r w:rsidRPr="00E32C96">
        <w:rPr>
          <w:rFonts w:ascii="Arial" w:hAnsi="Arial" w:cs="Arial"/>
          <w:sz w:val="19"/>
          <w:szCs w:val="19"/>
          <w:lang w:val="es-419"/>
        </w:rPr>
        <w:t>(dilatorios)</w:t>
      </w:r>
      <w:r w:rsidRPr="00E32C96">
        <w:rPr>
          <w:rFonts w:ascii="Arial" w:hAnsi="Arial" w:cs="Arial"/>
          <w:sz w:val="19"/>
          <w:szCs w:val="19"/>
        </w:rPr>
        <w:t xml:space="preserve"> constituya un obstáculo en el acceso a la justicia de las víctimas"</w:t>
      </w:r>
      <w:r w:rsidRPr="00E32C96">
        <w:rPr>
          <w:rFonts w:ascii="Arial" w:hAnsi="Arial" w:cs="Arial"/>
          <w:sz w:val="19"/>
          <w:szCs w:val="19"/>
          <w:lang w:val="es-419"/>
        </w:rPr>
        <w:t>.</w:t>
      </w:r>
    </w:p>
    <w:p w:rsidR="00207603" w:rsidRPr="00E32C96" w:rsidRDefault="00207603" w:rsidP="00207603">
      <w:pPr>
        <w:jc w:val="both"/>
        <w:rPr>
          <w:rFonts w:ascii="Arial" w:hAnsi="Arial" w:cs="Arial"/>
          <w:sz w:val="19"/>
          <w:szCs w:val="19"/>
        </w:rPr>
      </w:pPr>
      <w:r w:rsidRPr="00E32C96">
        <w:rPr>
          <w:rFonts w:ascii="Arial" w:hAnsi="Arial" w:cs="Arial"/>
          <w:sz w:val="19"/>
          <w:szCs w:val="19"/>
        </w:rPr>
        <w:t>Dicho esto, exhortamos a las autoridades asegurar que el juicio se desarrolle sin obstáculos y con las debidas garantías para todas las personas q</w:t>
      </w:r>
      <w:r w:rsidRPr="00E32C96">
        <w:rPr>
          <w:rFonts w:ascii="Arial" w:hAnsi="Arial" w:cs="Arial"/>
          <w:sz w:val="19"/>
          <w:szCs w:val="19"/>
          <w:lang w:val="es-419"/>
        </w:rPr>
        <w:t>x</w:t>
      </w:r>
      <w:r w:rsidRPr="00E32C96">
        <w:rPr>
          <w:rFonts w:ascii="Arial" w:hAnsi="Arial" w:cs="Arial"/>
          <w:sz w:val="19"/>
          <w:szCs w:val="19"/>
        </w:rPr>
        <w:t xml:space="preserve">ue intervienen en el proceso. </w:t>
      </w:r>
      <w:r w:rsidRPr="00E32C96">
        <w:rPr>
          <w:rFonts w:ascii="Arial" w:hAnsi="Arial" w:cs="Arial"/>
          <w:sz w:val="19"/>
          <w:szCs w:val="19"/>
          <w:lang w:val="es-419"/>
        </w:rPr>
        <w:t>Exigimos</w:t>
      </w:r>
      <w:r w:rsidRPr="00E32C96">
        <w:rPr>
          <w:rFonts w:ascii="Arial" w:hAnsi="Arial" w:cs="Arial"/>
          <w:sz w:val="19"/>
          <w:szCs w:val="19"/>
        </w:rPr>
        <w:t xml:space="preserve"> también, que este juicio debe se</w:t>
      </w:r>
      <w:r w:rsidRPr="00E32C96">
        <w:rPr>
          <w:rFonts w:ascii="Arial" w:hAnsi="Arial" w:cs="Arial"/>
          <w:sz w:val="19"/>
          <w:szCs w:val="19"/>
          <w:lang w:val="es-419"/>
        </w:rPr>
        <w:t>a</w:t>
      </w:r>
      <w:r w:rsidRPr="00E32C96">
        <w:rPr>
          <w:rFonts w:ascii="Arial" w:hAnsi="Arial" w:cs="Arial"/>
          <w:sz w:val="19"/>
          <w:szCs w:val="19"/>
        </w:rPr>
        <w:t xml:space="preserve"> un proceso reparador y no revictimizante para la familia, que ha buscado justicia por casi cuatro décadas. </w:t>
      </w:r>
    </w:p>
    <w:p w:rsidR="00E32C96" w:rsidRDefault="00E32C96" w:rsidP="00E32C96">
      <w:pPr>
        <w:spacing w:after="0" w:line="240" w:lineRule="auto"/>
        <w:jc w:val="both"/>
        <w:rPr>
          <w:rFonts w:ascii="Arial" w:eastAsia="Tahoma" w:hAnsi="Arial" w:cs="Arial"/>
          <w:b/>
          <w:sz w:val="19"/>
          <w:szCs w:val="19"/>
        </w:rPr>
      </w:pPr>
      <w:r w:rsidRPr="00E32C96">
        <w:rPr>
          <w:rFonts w:ascii="Arial" w:eastAsia="Tahoma" w:hAnsi="Arial" w:cs="Arial"/>
          <w:b/>
          <w:sz w:val="19"/>
          <w:szCs w:val="19"/>
        </w:rPr>
        <w:t xml:space="preserve">Organizaciones signatarias: </w:t>
      </w:r>
    </w:p>
    <w:p w:rsidR="00E32C96" w:rsidRPr="00E32C96" w:rsidRDefault="00E32C96" w:rsidP="00E32C96">
      <w:pPr>
        <w:spacing w:after="0" w:line="240" w:lineRule="auto"/>
        <w:jc w:val="both"/>
        <w:rPr>
          <w:rFonts w:ascii="Arial" w:hAnsi="Arial" w:cs="Arial"/>
          <w:sz w:val="19"/>
          <w:szCs w:val="19"/>
        </w:rPr>
      </w:pPr>
      <w:r w:rsidRPr="00E32C96">
        <w:rPr>
          <w:rFonts w:ascii="Arial" w:hAnsi="Arial" w:cs="Arial"/>
          <w:sz w:val="19"/>
          <w:szCs w:val="19"/>
        </w:rPr>
        <w:t>Centro por la Justicia y el Derecho Internacional (CEJIL)</w:t>
      </w:r>
    </w:p>
    <w:p w:rsidR="00E32C96" w:rsidRPr="00E32C96" w:rsidRDefault="00E32C96" w:rsidP="00E32C96">
      <w:pPr>
        <w:spacing w:after="0" w:line="240" w:lineRule="auto"/>
        <w:jc w:val="both"/>
        <w:rPr>
          <w:rFonts w:ascii="Arial" w:hAnsi="Arial" w:cs="Arial"/>
          <w:sz w:val="19"/>
          <w:szCs w:val="19"/>
          <w:lang w:val="es-CO"/>
        </w:rPr>
      </w:pPr>
      <w:r w:rsidRPr="00E32C96">
        <w:rPr>
          <w:rFonts w:ascii="Arial" w:hAnsi="Arial" w:cs="Arial"/>
          <w:sz w:val="19"/>
          <w:szCs w:val="19"/>
          <w:lang w:val="es-CO"/>
        </w:rPr>
        <w:t>Fundación para el Debido Proceso (DPLF)</w:t>
      </w:r>
    </w:p>
    <w:p w:rsidR="00E32C96" w:rsidRPr="00E32C96" w:rsidRDefault="00E32C96" w:rsidP="00E32C96">
      <w:pPr>
        <w:spacing w:after="0" w:line="240" w:lineRule="auto"/>
        <w:jc w:val="both"/>
        <w:rPr>
          <w:rFonts w:ascii="Arial" w:hAnsi="Arial" w:cs="Arial"/>
          <w:sz w:val="19"/>
          <w:szCs w:val="19"/>
          <w:lang w:val="es-CO"/>
        </w:rPr>
      </w:pPr>
      <w:proofErr w:type="spellStart"/>
      <w:r w:rsidRPr="00E32C96">
        <w:rPr>
          <w:rFonts w:ascii="Arial" w:hAnsi="Arial" w:cs="Arial"/>
          <w:sz w:val="19"/>
          <w:szCs w:val="19"/>
          <w:lang w:val="es-CO"/>
        </w:rPr>
        <w:t>Impunity</w:t>
      </w:r>
      <w:proofErr w:type="spellEnd"/>
      <w:r w:rsidRPr="00E32C96">
        <w:rPr>
          <w:rFonts w:ascii="Arial" w:hAnsi="Arial" w:cs="Arial"/>
          <w:sz w:val="19"/>
          <w:szCs w:val="19"/>
          <w:lang w:val="es-CO"/>
        </w:rPr>
        <w:t xml:space="preserve"> </w:t>
      </w:r>
      <w:proofErr w:type="spellStart"/>
      <w:r w:rsidRPr="00E32C96">
        <w:rPr>
          <w:rFonts w:ascii="Arial" w:hAnsi="Arial" w:cs="Arial"/>
          <w:sz w:val="19"/>
          <w:szCs w:val="19"/>
          <w:lang w:val="es-CO"/>
        </w:rPr>
        <w:t>Watch</w:t>
      </w:r>
      <w:proofErr w:type="spellEnd"/>
    </w:p>
    <w:p w:rsidR="00E32C96" w:rsidRPr="00E32C96" w:rsidRDefault="00E32C96" w:rsidP="00E32C96">
      <w:pPr>
        <w:pStyle w:val="NoSpacing"/>
        <w:rPr>
          <w:rFonts w:ascii="Arial" w:hAnsi="Arial" w:cs="Arial"/>
          <w:sz w:val="19"/>
          <w:szCs w:val="19"/>
        </w:rPr>
      </w:pPr>
      <w:r w:rsidRPr="00E32C96">
        <w:rPr>
          <w:rFonts w:ascii="Arial" w:hAnsi="Arial" w:cs="Arial"/>
          <w:sz w:val="19"/>
          <w:szCs w:val="19"/>
        </w:rPr>
        <w:t>Plataforma Internacional contra la Impunidad</w:t>
      </w:r>
    </w:p>
    <w:p w:rsidR="00E32C96" w:rsidRPr="00E32C96" w:rsidRDefault="00E32C96" w:rsidP="00E32C96">
      <w:pPr>
        <w:spacing w:after="0" w:line="240" w:lineRule="auto"/>
        <w:jc w:val="both"/>
        <w:rPr>
          <w:rFonts w:ascii="Arial" w:hAnsi="Arial" w:cs="Arial"/>
          <w:sz w:val="19"/>
          <w:szCs w:val="19"/>
          <w:lang w:val="en-US"/>
        </w:rPr>
      </w:pPr>
      <w:r w:rsidRPr="00E32C96">
        <w:rPr>
          <w:rFonts w:ascii="Arial" w:eastAsia="Tahoma" w:hAnsi="Arial" w:cs="Arial"/>
          <w:sz w:val="19"/>
          <w:szCs w:val="19"/>
        </w:rPr>
        <w:t>Robert F. Kennedy Human Rights</w:t>
      </w:r>
    </w:p>
    <w:p w:rsidR="00E32C96" w:rsidRPr="00E32C96" w:rsidRDefault="00E32C96" w:rsidP="00E32C96">
      <w:pPr>
        <w:pStyle w:val="NoSpacing"/>
        <w:rPr>
          <w:rFonts w:ascii="Arial" w:hAnsi="Arial" w:cs="Arial"/>
          <w:sz w:val="19"/>
          <w:szCs w:val="19"/>
          <w:lang w:val="en-US"/>
        </w:rPr>
      </w:pPr>
      <w:r w:rsidRPr="00E32C96">
        <w:rPr>
          <w:rFonts w:ascii="Arial" w:hAnsi="Arial" w:cs="Arial"/>
          <w:sz w:val="19"/>
          <w:szCs w:val="19"/>
          <w:lang w:val="en-US"/>
        </w:rPr>
        <w:t>Washington Office on Latin American (WOLA)</w:t>
      </w:r>
      <w:bookmarkStart w:id="0" w:name="_GoBack"/>
      <w:bookmarkEnd w:id="0"/>
    </w:p>
    <w:sectPr w:rsidR="00E32C96" w:rsidRPr="00E32C96">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67A" w:rsidRDefault="0088067A" w:rsidP="00BD25ED">
      <w:pPr>
        <w:spacing w:after="0" w:line="240" w:lineRule="auto"/>
      </w:pPr>
      <w:r>
        <w:separator/>
      </w:r>
    </w:p>
  </w:endnote>
  <w:endnote w:type="continuationSeparator" w:id="0">
    <w:p w:rsidR="0088067A" w:rsidRDefault="0088067A" w:rsidP="00BD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67A" w:rsidRDefault="0088067A" w:rsidP="00BD25ED">
      <w:pPr>
        <w:spacing w:after="0" w:line="240" w:lineRule="auto"/>
      </w:pPr>
      <w:r>
        <w:separator/>
      </w:r>
    </w:p>
  </w:footnote>
  <w:footnote w:type="continuationSeparator" w:id="0">
    <w:p w:rsidR="0088067A" w:rsidRDefault="0088067A" w:rsidP="00BD2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A5A" w:rsidRDefault="00B31A5A" w:rsidP="00CA1E59">
    <w:pPr>
      <w:pStyle w:val="Header"/>
      <w:jc w:val="center"/>
      <w:rPr>
        <w:lang w:val="es-419"/>
      </w:rPr>
    </w:pPr>
    <w:r>
      <w:rPr>
        <w:noProof/>
        <w:lang w:val="es-419" w:eastAsia="es-419"/>
      </w:rPr>
      <w:t xml:space="preserve">  </w:t>
    </w:r>
    <w:r w:rsidR="00BD25ED">
      <w:rPr>
        <w:noProof/>
        <w:lang w:val="en-US"/>
      </w:rPr>
      <w:drawing>
        <wp:inline distT="0" distB="0" distL="0" distR="0" wp14:anchorId="26D54CA4" wp14:editId="5FE9E7D9">
          <wp:extent cx="1593883" cy="403784"/>
          <wp:effectExtent l="0" t="0" r="6350" b="0"/>
          <wp:docPr id="3" name="Picture 3" descr="D:\2018 03 04 MT material\LOGOS\imp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2018 03 04 MT material\LOGOS\impunit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817" cy="438727"/>
                  </a:xfrm>
                  <a:prstGeom prst="rect">
                    <a:avLst/>
                  </a:prstGeom>
                  <a:noFill/>
                  <a:ln>
                    <a:noFill/>
                  </a:ln>
                </pic:spPr>
              </pic:pic>
            </a:graphicData>
          </a:graphic>
        </wp:inline>
      </w:drawing>
    </w:r>
    <w:r>
      <w:rPr>
        <w:noProof/>
        <w:lang w:val="es-419" w:eastAsia="es-419"/>
      </w:rPr>
      <w:t xml:space="preserve">          </w:t>
    </w:r>
    <w:r w:rsidR="00BD25ED">
      <w:rPr>
        <w:noProof/>
        <w:lang w:val="en-US"/>
      </w:rPr>
      <w:drawing>
        <wp:inline distT="0" distB="0" distL="0" distR="0" wp14:anchorId="2B70597C" wp14:editId="1025A1DF">
          <wp:extent cx="691313" cy="487377"/>
          <wp:effectExtent l="0" t="0" r="0" b="8255"/>
          <wp:docPr id="4" name="Picture 4" descr="D:\2018 03 04 MT material\LOGO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8 03 04 MT material\LOGOS\download.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0142"/>
                  <a:stretch/>
                </pic:blipFill>
                <pic:spPr bwMode="auto">
                  <a:xfrm>
                    <a:off x="0" y="0"/>
                    <a:ext cx="709179" cy="499973"/>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419" w:eastAsia="es-419"/>
      </w:rPr>
      <w:t xml:space="preserve">          </w:t>
    </w:r>
    <w:r w:rsidR="004B516D">
      <w:rPr>
        <w:noProof/>
        <w:lang w:val="en-US"/>
      </w:rPr>
      <w:drawing>
        <wp:inline distT="0" distB="0" distL="0" distR="0" wp14:anchorId="66B62AFA" wp14:editId="759B9E7F">
          <wp:extent cx="969831" cy="464820"/>
          <wp:effectExtent l="0" t="0" r="1905" b="0"/>
          <wp:docPr id="6" name="Picture 6" descr="D:\2018 03 04 MT material\LOGOS\dp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2018 03 04 MT material\LOGOS\dplf.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5554" cy="467563"/>
                  </a:xfrm>
                  <a:prstGeom prst="rect">
                    <a:avLst/>
                  </a:prstGeom>
                  <a:noFill/>
                  <a:ln>
                    <a:noFill/>
                  </a:ln>
                </pic:spPr>
              </pic:pic>
            </a:graphicData>
          </a:graphic>
        </wp:inline>
      </w:drawing>
    </w:r>
  </w:p>
  <w:p w:rsidR="00B31A5A" w:rsidRDefault="00B31A5A">
    <w:pPr>
      <w:pStyle w:val="Header"/>
      <w:rPr>
        <w:lang w:val="es-419"/>
      </w:rPr>
    </w:pPr>
  </w:p>
  <w:p w:rsidR="00BD25ED" w:rsidRPr="004B516D" w:rsidRDefault="00B31A5A" w:rsidP="00CA1E59">
    <w:pPr>
      <w:pStyle w:val="Header"/>
      <w:jc w:val="center"/>
      <w:rPr>
        <w:noProof/>
        <w:lang w:val="es-419" w:eastAsia="es-419"/>
      </w:rPr>
    </w:pPr>
    <w:r>
      <w:rPr>
        <w:noProof/>
        <w:lang w:val="en-US"/>
      </w:rPr>
      <w:drawing>
        <wp:inline distT="0" distB="0" distL="0" distR="0" wp14:anchorId="3ADBA3DC" wp14:editId="1729FECC">
          <wp:extent cx="1272072" cy="4495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español.jpg"/>
                  <pic:cNvPicPr/>
                </pic:nvPicPr>
                <pic:blipFill>
                  <a:blip r:embed="rId4">
                    <a:extLst>
                      <a:ext uri="{28A0092B-C50C-407E-A947-70E740481C1C}">
                        <a14:useLocalDpi xmlns:a14="http://schemas.microsoft.com/office/drawing/2010/main" val="0"/>
                      </a:ext>
                    </a:extLst>
                  </a:blip>
                  <a:stretch>
                    <a:fillRect/>
                  </a:stretch>
                </pic:blipFill>
                <pic:spPr>
                  <a:xfrm>
                    <a:off x="0" y="0"/>
                    <a:ext cx="1278349" cy="451798"/>
                  </a:xfrm>
                  <a:prstGeom prst="rect">
                    <a:avLst/>
                  </a:prstGeom>
                </pic:spPr>
              </pic:pic>
            </a:graphicData>
          </a:graphic>
        </wp:inline>
      </w:drawing>
    </w:r>
    <w:r>
      <w:rPr>
        <w:noProof/>
        <w:lang w:val="es-419" w:eastAsia="es-419"/>
      </w:rPr>
      <w:t xml:space="preserve">          </w:t>
    </w:r>
    <w:r>
      <w:rPr>
        <w:noProof/>
        <w:lang w:val="en-US"/>
      </w:rPr>
      <w:drawing>
        <wp:inline distT="0" distB="0" distL="0" distR="0" wp14:anchorId="4120A3B6" wp14:editId="1C356186">
          <wp:extent cx="1280160" cy="465263"/>
          <wp:effectExtent l="0" t="0" r="0" b="0"/>
          <wp:docPr id="7" name="Picture 7" descr="D:\2018 03 04 MT material\LOGOS\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8 03 04 MT material\LOGOS\download (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656" cy="468714"/>
                  </a:xfrm>
                  <a:prstGeom prst="rect">
                    <a:avLst/>
                  </a:prstGeom>
                  <a:noFill/>
                  <a:ln>
                    <a:noFill/>
                  </a:ln>
                </pic:spPr>
              </pic:pic>
            </a:graphicData>
          </a:graphic>
        </wp:inline>
      </w:drawing>
    </w:r>
    <w:r>
      <w:rPr>
        <w:noProof/>
        <w:lang w:val="es-419" w:eastAsia="es-419"/>
      </w:rPr>
      <w:t xml:space="preserve">          </w:t>
    </w:r>
    <w:r>
      <w:rPr>
        <w:noProof/>
        <w:lang w:val="en-US"/>
      </w:rPr>
      <w:drawing>
        <wp:inline distT="0" distB="0" distL="0" distR="0" wp14:anchorId="76E225A1" wp14:editId="5CCA95BC">
          <wp:extent cx="497286" cy="495300"/>
          <wp:effectExtent l="0" t="0" r="0" b="0"/>
          <wp:docPr id="8" name="Picture 8" descr="D:\2018 03 04 MT material\LOGOS\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 03 04 MT material\LOGOS\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506440" cy="504418"/>
                  </a:xfrm>
                  <a:prstGeom prst="rect">
                    <a:avLst/>
                  </a:prstGeom>
                  <a:noFill/>
                  <a:ln>
                    <a:noFill/>
                  </a:ln>
                </pic:spPr>
              </pic:pic>
            </a:graphicData>
          </a:graphic>
        </wp:inline>
      </w:drawing>
    </w:r>
    <w:r w:rsidR="00C75044">
      <w:rPr>
        <w:noProof/>
        <w:lang w:val="es-419" w:eastAsia="es-419"/>
      </w:rPr>
      <w:t xml:space="preserve">          </w:t>
    </w:r>
    <w:r w:rsidR="00C75044">
      <w:rPr>
        <w:noProof/>
        <w:lang w:val="en-US"/>
      </w:rPr>
      <w:drawing>
        <wp:inline distT="0" distB="0" distL="0" distR="0">
          <wp:extent cx="793501" cy="5943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7">
                    <a:extLst>
                      <a:ext uri="{28A0092B-C50C-407E-A947-70E740481C1C}">
                        <a14:useLocalDpi xmlns:a14="http://schemas.microsoft.com/office/drawing/2010/main" val="0"/>
                      </a:ext>
                    </a:extLst>
                  </a:blip>
                  <a:stretch>
                    <a:fillRect/>
                  </a:stretch>
                </pic:blipFill>
                <pic:spPr>
                  <a:xfrm>
                    <a:off x="0" y="0"/>
                    <a:ext cx="793501" cy="594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AD"/>
    <w:rsid w:val="00074550"/>
    <w:rsid w:val="0009198C"/>
    <w:rsid w:val="00125659"/>
    <w:rsid w:val="00147413"/>
    <w:rsid w:val="001643E0"/>
    <w:rsid w:val="001D40CF"/>
    <w:rsid w:val="001E1593"/>
    <w:rsid w:val="00207603"/>
    <w:rsid w:val="00295404"/>
    <w:rsid w:val="002A1F47"/>
    <w:rsid w:val="002B452C"/>
    <w:rsid w:val="00386595"/>
    <w:rsid w:val="003E0102"/>
    <w:rsid w:val="003E0238"/>
    <w:rsid w:val="0040413D"/>
    <w:rsid w:val="00411B17"/>
    <w:rsid w:val="00421FF2"/>
    <w:rsid w:val="00432806"/>
    <w:rsid w:val="004B516D"/>
    <w:rsid w:val="005004D4"/>
    <w:rsid w:val="005017C3"/>
    <w:rsid w:val="005949FF"/>
    <w:rsid w:val="005A6135"/>
    <w:rsid w:val="00610850"/>
    <w:rsid w:val="006427AF"/>
    <w:rsid w:val="008071CB"/>
    <w:rsid w:val="00870713"/>
    <w:rsid w:val="0088067A"/>
    <w:rsid w:val="008C3D4E"/>
    <w:rsid w:val="009258AD"/>
    <w:rsid w:val="00933F72"/>
    <w:rsid w:val="0094363E"/>
    <w:rsid w:val="00946D72"/>
    <w:rsid w:val="009A5756"/>
    <w:rsid w:val="009F571F"/>
    <w:rsid w:val="00A90141"/>
    <w:rsid w:val="00AC54EA"/>
    <w:rsid w:val="00AF5163"/>
    <w:rsid w:val="00B24E9D"/>
    <w:rsid w:val="00B31A5A"/>
    <w:rsid w:val="00BA07B2"/>
    <w:rsid w:val="00BC182C"/>
    <w:rsid w:val="00BD25ED"/>
    <w:rsid w:val="00C75044"/>
    <w:rsid w:val="00CA1E59"/>
    <w:rsid w:val="00CC7FDC"/>
    <w:rsid w:val="00D01261"/>
    <w:rsid w:val="00D830E2"/>
    <w:rsid w:val="00DA47A8"/>
    <w:rsid w:val="00E32C96"/>
    <w:rsid w:val="00F130DC"/>
    <w:rsid w:val="00F65A63"/>
    <w:rsid w:val="00F65CCC"/>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2268B77-A6FC-44A1-BA35-66303DE5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z-Cyrl-U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141"/>
    <w:rPr>
      <w:color w:val="0563C1" w:themeColor="hyperlink"/>
      <w:u w:val="single"/>
    </w:rPr>
  </w:style>
  <w:style w:type="character" w:styleId="CommentReference">
    <w:name w:val="annotation reference"/>
    <w:basedOn w:val="DefaultParagraphFont"/>
    <w:uiPriority w:val="99"/>
    <w:semiHidden/>
    <w:unhideWhenUsed/>
    <w:rsid w:val="001643E0"/>
    <w:rPr>
      <w:sz w:val="16"/>
      <w:szCs w:val="16"/>
    </w:rPr>
  </w:style>
  <w:style w:type="paragraph" w:styleId="CommentText">
    <w:name w:val="annotation text"/>
    <w:basedOn w:val="Normal"/>
    <w:link w:val="CommentTextChar"/>
    <w:uiPriority w:val="99"/>
    <w:semiHidden/>
    <w:unhideWhenUsed/>
    <w:rsid w:val="001643E0"/>
    <w:pPr>
      <w:spacing w:line="240" w:lineRule="auto"/>
    </w:pPr>
    <w:rPr>
      <w:sz w:val="20"/>
      <w:szCs w:val="20"/>
    </w:rPr>
  </w:style>
  <w:style w:type="character" w:customStyle="1" w:styleId="CommentTextChar">
    <w:name w:val="Comment Text Char"/>
    <w:basedOn w:val="DefaultParagraphFont"/>
    <w:link w:val="CommentText"/>
    <w:uiPriority w:val="99"/>
    <w:semiHidden/>
    <w:rsid w:val="001643E0"/>
    <w:rPr>
      <w:sz w:val="20"/>
      <w:szCs w:val="20"/>
    </w:rPr>
  </w:style>
  <w:style w:type="paragraph" w:styleId="CommentSubject">
    <w:name w:val="annotation subject"/>
    <w:basedOn w:val="CommentText"/>
    <w:next w:val="CommentText"/>
    <w:link w:val="CommentSubjectChar"/>
    <w:uiPriority w:val="99"/>
    <w:semiHidden/>
    <w:unhideWhenUsed/>
    <w:rsid w:val="001643E0"/>
    <w:rPr>
      <w:b/>
      <w:bCs/>
    </w:rPr>
  </w:style>
  <w:style w:type="character" w:customStyle="1" w:styleId="CommentSubjectChar">
    <w:name w:val="Comment Subject Char"/>
    <w:basedOn w:val="CommentTextChar"/>
    <w:link w:val="CommentSubject"/>
    <w:uiPriority w:val="99"/>
    <w:semiHidden/>
    <w:rsid w:val="001643E0"/>
    <w:rPr>
      <w:b/>
      <w:bCs/>
      <w:sz w:val="20"/>
      <w:szCs w:val="20"/>
    </w:rPr>
  </w:style>
  <w:style w:type="paragraph" w:styleId="BalloonText">
    <w:name w:val="Balloon Text"/>
    <w:basedOn w:val="Normal"/>
    <w:link w:val="BalloonTextChar"/>
    <w:uiPriority w:val="99"/>
    <w:semiHidden/>
    <w:unhideWhenUsed/>
    <w:rsid w:val="00164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3E0"/>
    <w:rPr>
      <w:rFonts w:ascii="Segoe UI" w:hAnsi="Segoe UI" w:cs="Segoe UI"/>
      <w:sz w:val="18"/>
      <w:szCs w:val="18"/>
    </w:rPr>
  </w:style>
  <w:style w:type="paragraph" w:styleId="NormalWeb">
    <w:name w:val="Normal (Web)"/>
    <w:basedOn w:val="Normal"/>
    <w:uiPriority w:val="99"/>
    <w:semiHidden/>
    <w:unhideWhenUsed/>
    <w:rsid w:val="00B24E9D"/>
    <w:pPr>
      <w:spacing w:before="100" w:beforeAutospacing="1" w:after="100" w:afterAutospacing="1" w:line="240" w:lineRule="auto"/>
    </w:pPr>
    <w:rPr>
      <w:rFonts w:ascii="Times" w:hAnsi="Times" w:cs="Times New Roman"/>
      <w:sz w:val="20"/>
      <w:szCs w:val="20"/>
      <w:lang w:val="en-US"/>
    </w:rPr>
  </w:style>
  <w:style w:type="paragraph" w:styleId="Revision">
    <w:name w:val="Revision"/>
    <w:hidden/>
    <w:uiPriority w:val="99"/>
    <w:semiHidden/>
    <w:rsid w:val="005004D4"/>
    <w:pPr>
      <w:spacing w:after="0" w:line="240" w:lineRule="auto"/>
    </w:pPr>
  </w:style>
  <w:style w:type="paragraph" w:styleId="Header">
    <w:name w:val="header"/>
    <w:basedOn w:val="Normal"/>
    <w:link w:val="HeaderChar"/>
    <w:uiPriority w:val="99"/>
    <w:unhideWhenUsed/>
    <w:rsid w:val="00BD2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5ED"/>
  </w:style>
  <w:style w:type="paragraph" w:styleId="Footer">
    <w:name w:val="footer"/>
    <w:basedOn w:val="Normal"/>
    <w:link w:val="FooterChar"/>
    <w:uiPriority w:val="99"/>
    <w:unhideWhenUsed/>
    <w:rsid w:val="00BD2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5ED"/>
  </w:style>
  <w:style w:type="character" w:customStyle="1" w:styleId="UnresolvedMention">
    <w:name w:val="Unresolved Mention"/>
    <w:basedOn w:val="DefaultParagraphFont"/>
    <w:uiPriority w:val="99"/>
    <w:semiHidden/>
    <w:unhideWhenUsed/>
    <w:rsid w:val="00074550"/>
    <w:rPr>
      <w:color w:val="808080"/>
      <w:shd w:val="clear" w:color="auto" w:fill="E6E6E6"/>
    </w:rPr>
  </w:style>
  <w:style w:type="paragraph" w:styleId="NoSpacing">
    <w:name w:val="No Spacing"/>
    <w:uiPriority w:val="1"/>
    <w:qFormat/>
    <w:rsid w:val="00E32C96"/>
    <w:pPr>
      <w:spacing w:after="0" w:line="240" w:lineRule="auto"/>
    </w:pPr>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idh.or.cr/docs/casos/articulos/seriec_106_esp.pdf" TargetMode="External"/><Relationship Id="rId3" Type="http://schemas.openxmlformats.org/officeDocument/2006/relationships/webSettings" Target="webSettings.xml"/><Relationship Id="rId7" Type="http://schemas.openxmlformats.org/officeDocument/2006/relationships/hyperlink" Target="https://cmiguate.org/ex-oficial-de-inteligencia-es-identificado-como-el-secuestrador-de-marco-antonio-molina-theiss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iguate.org/el-largo-camino-a-la-justicia-inicia-el-juicio-contra-altos-oficiales-militares-en-el-caso-molina-theiss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rteidh.or.cr/docs/supervisiones/12_casos_24_11_15.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Snow</dc:creator>
  <cp:keywords/>
  <dc:description/>
  <cp:lastModifiedBy>Kacey Mordecai</cp:lastModifiedBy>
  <cp:revision>2</cp:revision>
  <cp:lastPrinted>2018-04-11T19:23:00Z</cp:lastPrinted>
  <dcterms:created xsi:type="dcterms:W3CDTF">2018-04-18T16:50:00Z</dcterms:created>
  <dcterms:modified xsi:type="dcterms:W3CDTF">2018-04-18T16:50:00Z</dcterms:modified>
</cp:coreProperties>
</file>